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7B" w:rsidRPr="0031533A" w:rsidRDefault="0069377B" w:rsidP="0069377B">
      <w:pPr>
        <w:rPr>
          <w:rFonts w:ascii="Arial" w:hAnsi="Arial" w:cs="Arial"/>
          <w:b/>
          <w:bCs/>
          <w:sz w:val="30"/>
          <w:szCs w:val="30"/>
        </w:rPr>
      </w:pPr>
      <w:r w:rsidRPr="0031533A">
        <w:rPr>
          <w:noProof/>
          <w:lang w:val="de-AT" w:eastAsia="de-AT"/>
        </w:rPr>
        <w:drawing>
          <wp:anchor distT="0" distB="0" distL="114300" distR="114300" simplePos="0" relativeHeight="251682816" behindDoc="0" locked="0" layoutInCell="1" allowOverlap="1" wp14:anchorId="67233070" wp14:editId="4C061EF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98904" cy="868776"/>
            <wp:effectExtent l="0" t="0" r="635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4" cy="86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31533A">
        <w:rPr>
          <w:rFonts w:ascii="Arial" w:hAnsi="Arial" w:cs="Arial"/>
          <w:b/>
          <w:bCs/>
          <w:sz w:val="30"/>
          <w:szCs w:val="30"/>
        </w:rPr>
        <w:t>Gemeindeamt Gurten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27DB3">
        <w:rPr>
          <w:rFonts w:ascii="Arial" w:hAnsi="Arial" w:cs="Arial"/>
          <w:b/>
          <w:bCs/>
          <w:sz w:val="20"/>
          <w:szCs w:val="20"/>
        </w:rPr>
        <w:t>Amtliche Mitteilung</w:t>
      </w:r>
    </w:p>
    <w:p w:rsidR="0069377B" w:rsidRPr="0031533A" w:rsidRDefault="0069377B" w:rsidP="0069377B">
      <w:pPr>
        <w:rPr>
          <w:rFonts w:ascii="Arial" w:hAnsi="Arial" w:cs="Arial"/>
          <w:b/>
          <w:bCs/>
        </w:rPr>
      </w:pPr>
      <w:r w:rsidRPr="0031533A">
        <w:rPr>
          <w:rFonts w:ascii="Arial" w:hAnsi="Arial" w:cs="Arial"/>
          <w:b/>
          <w:bCs/>
        </w:rPr>
        <w:tab/>
      </w:r>
      <w:r w:rsidRPr="0031533A">
        <w:rPr>
          <w:rFonts w:ascii="Arial" w:hAnsi="Arial" w:cs="Arial"/>
          <w:b/>
          <w:bCs/>
        </w:rPr>
        <w:tab/>
        <w:t>4942 Gurten, Hofmark 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DB3">
        <w:rPr>
          <w:rFonts w:ascii="Arial" w:hAnsi="Arial" w:cs="Arial"/>
          <w:b/>
          <w:bCs/>
          <w:sz w:val="20"/>
          <w:szCs w:val="20"/>
        </w:rPr>
        <w:t>Zugestellt durch Post.</w:t>
      </w:r>
      <w:r>
        <w:rPr>
          <w:rFonts w:ascii="Arial" w:hAnsi="Arial" w:cs="Arial"/>
          <w:b/>
          <w:bCs/>
          <w:sz w:val="20"/>
          <w:szCs w:val="20"/>
        </w:rPr>
        <w:t>at</w:t>
      </w:r>
    </w:p>
    <w:p w:rsidR="0069377B" w:rsidRPr="0031533A" w:rsidRDefault="0069377B" w:rsidP="0069377B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  <w:t>Politischer Bezirk: Ried im Innkreis</w:t>
      </w:r>
    </w:p>
    <w:p w:rsidR="0069377B" w:rsidRPr="0031533A" w:rsidRDefault="0069377B" w:rsidP="0069377B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  <w:t>Telefon: 07757/6055*/Fax: 07757/6055-4</w:t>
      </w:r>
    </w:p>
    <w:p w:rsidR="0069377B" w:rsidRPr="0031533A" w:rsidRDefault="0069377B" w:rsidP="0069377B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</w:r>
      <w:proofErr w:type="spellStart"/>
      <w:r w:rsidRPr="0031533A">
        <w:rPr>
          <w:rFonts w:ascii="Arial" w:hAnsi="Arial" w:cs="Arial"/>
        </w:rPr>
        <w:t>e-Mail</w:t>
      </w:r>
      <w:proofErr w:type="spellEnd"/>
      <w:r w:rsidRPr="0031533A">
        <w:rPr>
          <w:rFonts w:ascii="Arial" w:hAnsi="Arial" w:cs="Arial"/>
        </w:rPr>
        <w:t xml:space="preserve">: </w:t>
      </w:r>
      <w:hyperlink r:id="rId11" w:history="1">
        <w:r w:rsidRPr="0031533A">
          <w:rPr>
            <w:rStyle w:val="Hyperlink"/>
            <w:rFonts w:ascii="Arial" w:hAnsi="Arial" w:cs="Arial"/>
          </w:rPr>
          <w:t>gemeinde@gurten.ooe.gv.at</w:t>
        </w:r>
      </w:hyperlink>
    </w:p>
    <w:p w:rsidR="0069377B" w:rsidRPr="00716F2C" w:rsidRDefault="0069377B" w:rsidP="0069377B">
      <w:pPr>
        <w:rPr>
          <w:rFonts w:ascii="Arial" w:hAnsi="Arial" w:cs="Arial"/>
          <w:lang w:val="de-AT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</w:r>
      <w:r w:rsidRPr="00716F2C">
        <w:rPr>
          <w:rFonts w:ascii="Arial" w:hAnsi="Arial" w:cs="Arial"/>
          <w:lang w:val="de-AT"/>
        </w:rPr>
        <w:t xml:space="preserve">Homepage: </w:t>
      </w:r>
      <w:hyperlink r:id="rId12" w:history="1">
        <w:r w:rsidRPr="00716F2C">
          <w:rPr>
            <w:rStyle w:val="Hyperlink"/>
            <w:rFonts w:ascii="Arial" w:hAnsi="Arial" w:cs="Arial"/>
            <w:lang w:val="de-AT"/>
          </w:rPr>
          <w:t>www.gemeinde-gurten.at</w:t>
        </w:r>
      </w:hyperlink>
    </w:p>
    <w:p w:rsidR="0069377B" w:rsidRDefault="0069377B" w:rsidP="0069377B">
      <w:pPr>
        <w:rPr>
          <w:sz w:val="16"/>
          <w:szCs w:val="16"/>
          <w:lang w:val="de-AT"/>
        </w:rPr>
      </w:pPr>
    </w:p>
    <w:p w:rsidR="00C76000" w:rsidRDefault="00C76000" w:rsidP="0069377B">
      <w:pPr>
        <w:rPr>
          <w:sz w:val="16"/>
          <w:szCs w:val="16"/>
          <w:lang w:val="de-AT"/>
        </w:rPr>
      </w:pPr>
    </w:p>
    <w:p w:rsidR="00D567A6" w:rsidRDefault="00D567A6" w:rsidP="0069377B">
      <w:pPr>
        <w:rPr>
          <w:sz w:val="16"/>
          <w:szCs w:val="16"/>
          <w:lang w:val="de-AT"/>
        </w:rPr>
      </w:pPr>
    </w:p>
    <w:p w:rsidR="00D567A6" w:rsidRDefault="00D567A6" w:rsidP="0069377B">
      <w:pPr>
        <w:rPr>
          <w:sz w:val="16"/>
          <w:szCs w:val="16"/>
          <w:lang w:val="de-AT"/>
        </w:rPr>
      </w:pPr>
    </w:p>
    <w:p w:rsidR="00C76000" w:rsidRPr="00716F2C" w:rsidRDefault="00C76000" w:rsidP="0069377B">
      <w:pPr>
        <w:rPr>
          <w:sz w:val="16"/>
          <w:szCs w:val="16"/>
          <w:lang w:val="de-AT"/>
        </w:rPr>
      </w:pPr>
    </w:p>
    <w:p w:rsidR="0069377B" w:rsidRDefault="0069377B" w:rsidP="0069377B">
      <w:pPr>
        <w:rPr>
          <w:b/>
          <w:bCs/>
          <w:sz w:val="32"/>
          <w:szCs w:val="32"/>
        </w:rPr>
      </w:pPr>
    </w:p>
    <w:p w:rsidR="00E318B5" w:rsidRDefault="00E318B5" w:rsidP="00886031">
      <w:pPr>
        <w:rPr>
          <w:b/>
          <w:bCs/>
          <w:sz w:val="28"/>
          <w:szCs w:val="28"/>
        </w:rPr>
      </w:pPr>
      <w:r w:rsidRPr="0003081F">
        <w:rPr>
          <w:b/>
          <w:bCs/>
          <w:sz w:val="28"/>
          <w:szCs w:val="28"/>
          <w:highlight w:val="lightGray"/>
        </w:rPr>
        <w:t>Verteilung und Termine Entleerung Papiertonnen 2022</w:t>
      </w:r>
    </w:p>
    <w:p w:rsidR="00886031" w:rsidRPr="00886031" w:rsidRDefault="00886031" w:rsidP="00886031">
      <w:pPr>
        <w:rPr>
          <w:b/>
          <w:bCs/>
          <w:sz w:val="28"/>
          <w:szCs w:val="28"/>
        </w:rPr>
      </w:pPr>
    </w:p>
    <w:p w:rsidR="00E318B5" w:rsidRPr="00886031" w:rsidRDefault="00E318B5" w:rsidP="00E318B5">
      <w:pPr>
        <w:jc w:val="both"/>
        <w:rPr>
          <w:b/>
          <w:bCs/>
          <w:i/>
          <w:sz w:val="24"/>
          <w:szCs w:val="24"/>
        </w:rPr>
      </w:pPr>
      <w:r w:rsidRPr="00886031">
        <w:rPr>
          <w:b/>
          <w:bCs/>
          <w:i/>
          <w:sz w:val="24"/>
          <w:szCs w:val="24"/>
        </w:rPr>
        <w:t>Verteilung Papiertonnen:</w:t>
      </w:r>
      <w:r w:rsidRPr="00886031">
        <w:rPr>
          <w:b/>
          <w:bCs/>
          <w:i/>
          <w:sz w:val="24"/>
          <w:szCs w:val="24"/>
        </w:rPr>
        <w:tab/>
        <w:t>Samstag, 17.09.2022, Vormittag durch Mitglieder des Gemeinderates</w:t>
      </w:r>
    </w:p>
    <w:p w:rsidR="00E318B5" w:rsidRPr="00886031" w:rsidRDefault="00E318B5" w:rsidP="00E318B5">
      <w:pPr>
        <w:jc w:val="both"/>
        <w:rPr>
          <w:bCs/>
          <w:sz w:val="24"/>
          <w:szCs w:val="24"/>
        </w:rPr>
      </w:pPr>
      <w:r w:rsidRPr="00886031">
        <w:rPr>
          <w:bCs/>
          <w:sz w:val="24"/>
          <w:szCs w:val="24"/>
        </w:rPr>
        <w:t>Mit den Tonnen wird eine Information ausgegeben, was alles in der Papiertonne entsorgt werden</w:t>
      </w:r>
      <w:r w:rsidR="004F7436">
        <w:rPr>
          <w:bCs/>
          <w:sz w:val="24"/>
          <w:szCs w:val="24"/>
        </w:rPr>
        <w:t xml:space="preserve"> darf</w:t>
      </w:r>
      <w:r w:rsidRPr="00886031">
        <w:rPr>
          <w:bCs/>
          <w:sz w:val="24"/>
          <w:szCs w:val="24"/>
        </w:rPr>
        <w:t>.</w:t>
      </w:r>
    </w:p>
    <w:p w:rsidR="00CB45A7" w:rsidRDefault="00CB45A7" w:rsidP="00CB45A7">
      <w:pPr>
        <w:ind w:left="720" w:firstLine="720"/>
        <w:rPr>
          <w:b/>
          <w:i/>
          <w:iCs/>
          <w:sz w:val="24"/>
          <w:szCs w:val="24"/>
        </w:rPr>
      </w:pPr>
    </w:p>
    <w:p w:rsidR="00E318B5" w:rsidRPr="00CB45A7" w:rsidRDefault="00CB45A7" w:rsidP="00CB45A7">
      <w:pPr>
        <w:rPr>
          <w:b/>
          <w:i/>
          <w:iCs/>
          <w:sz w:val="24"/>
          <w:szCs w:val="24"/>
        </w:rPr>
      </w:pPr>
      <w:r w:rsidRPr="00886031">
        <w:rPr>
          <w:b/>
          <w:i/>
          <w:iCs/>
          <w:sz w:val="24"/>
          <w:szCs w:val="24"/>
        </w:rPr>
        <w:t>Entleerungstermine Papiertonne 2022:</w:t>
      </w:r>
      <w:r w:rsidRPr="00886031">
        <w:rPr>
          <w:b/>
          <w:i/>
          <w:iCs/>
          <w:sz w:val="24"/>
          <w:szCs w:val="24"/>
        </w:rPr>
        <w:tab/>
      </w:r>
      <w:r w:rsidRPr="00886031">
        <w:rPr>
          <w:b/>
          <w:i/>
          <w:iCs/>
          <w:sz w:val="24"/>
          <w:szCs w:val="24"/>
        </w:rPr>
        <w:tab/>
        <w:t>19.10.2022 + 14.12.2022</w:t>
      </w:r>
    </w:p>
    <w:p w:rsidR="00E318B5" w:rsidRPr="00886031" w:rsidRDefault="00E318B5" w:rsidP="00E318B5">
      <w:pPr>
        <w:jc w:val="both"/>
        <w:rPr>
          <w:bCs/>
          <w:sz w:val="24"/>
          <w:szCs w:val="24"/>
        </w:rPr>
      </w:pPr>
      <w:r w:rsidRPr="00886031">
        <w:rPr>
          <w:bCs/>
          <w:sz w:val="24"/>
          <w:szCs w:val="24"/>
        </w:rPr>
        <w:t xml:space="preserve">Bitte die Papiertonne am </w:t>
      </w:r>
      <w:r w:rsidR="00250C4B">
        <w:rPr>
          <w:bCs/>
          <w:sz w:val="24"/>
          <w:szCs w:val="24"/>
        </w:rPr>
        <w:t>Vorabend</w:t>
      </w:r>
      <w:bookmarkStart w:id="0" w:name="_GoBack"/>
      <w:bookmarkEnd w:id="0"/>
      <w:r w:rsidRPr="00886031">
        <w:rPr>
          <w:bCs/>
          <w:sz w:val="24"/>
          <w:szCs w:val="24"/>
        </w:rPr>
        <w:t xml:space="preserve"> des Abholtages an jenen Platz stellen</w:t>
      </w:r>
      <w:r w:rsidR="00CF58BB">
        <w:rPr>
          <w:bCs/>
          <w:sz w:val="24"/>
          <w:szCs w:val="24"/>
        </w:rPr>
        <w:t>,</w:t>
      </w:r>
      <w:r w:rsidRPr="00886031">
        <w:rPr>
          <w:bCs/>
          <w:sz w:val="24"/>
          <w:szCs w:val="24"/>
        </w:rPr>
        <w:t xml:space="preserve"> auf dem auch die Restmülltone zur Abholung bereit steht. Für alle, welche die Papiertonne abbestellt haben, besteht jederzeit die Möglichkeit die Papiertonne zu bestellen – dazu bitte einfach am Gemeindeamt melden!</w:t>
      </w:r>
    </w:p>
    <w:p w:rsidR="00E318B5" w:rsidRPr="00886031" w:rsidRDefault="00E318B5" w:rsidP="00E318B5">
      <w:pPr>
        <w:rPr>
          <w:i/>
          <w:iCs/>
          <w:sz w:val="24"/>
          <w:szCs w:val="24"/>
        </w:rPr>
      </w:pPr>
    </w:p>
    <w:p w:rsidR="00D567A6" w:rsidRDefault="00D567A6" w:rsidP="00E318B5">
      <w:pPr>
        <w:rPr>
          <w:b/>
          <w:bCs/>
          <w:sz w:val="16"/>
          <w:szCs w:val="16"/>
          <w:highlight w:val="lightGray"/>
        </w:rPr>
      </w:pPr>
    </w:p>
    <w:p w:rsidR="00886031" w:rsidRPr="002E5A2B" w:rsidRDefault="00886031" w:rsidP="00E318B5">
      <w:pPr>
        <w:rPr>
          <w:b/>
          <w:bCs/>
          <w:sz w:val="16"/>
          <w:szCs w:val="16"/>
          <w:highlight w:val="lightGray"/>
        </w:rPr>
      </w:pPr>
    </w:p>
    <w:p w:rsidR="00C76000" w:rsidRPr="002E5A2B" w:rsidRDefault="00C76000" w:rsidP="00E318B5">
      <w:pPr>
        <w:rPr>
          <w:b/>
          <w:bCs/>
          <w:sz w:val="16"/>
          <w:szCs w:val="16"/>
          <w:highlight w:val="lightGray"/>
        </w:rPr>
      </w:pPr>
    </w:p>
    <w:p w:rsidR="00E318B5" w:rsidRPr="00886031" w:rsidRDefault="00E318B5" w:rsidP="00E318B5">
      <w:pPr>
        <w:rPr>
          <w:b/>
          <w:bCs/>
          <w:sz w:val="28"/>
          <w:szCs w:val="28"/>
        </w:rPr>
      </w:pPr>
      <w:r w:rsidRPr="00E318B5">
        <w:rPr>
          <w:b/>
          <w:bCs/>
          <w:sz w:val="28"/>
          <w:szCs w:val="28"/>
          <w:highlight w:val="lightGray"/>
        </w:rPr>
        <w:t>Aktion Bodenuntersuchung für alle Landwirte, Garten- und Rasenbesitzer</w:t>
      </w:r>
    </w:p>
    <w:p w:rsidR="00E318B5" w:rsidRPr="00886031" w:rsidRDefault="00E318B5" w:rsidP="00E318B5">
      <w:pPr>
        <w:rPr>
          <w:sz w:val="24"/>
          <w:szCs w:val="24"/>
        </w:rPr>
      </w:pPr>
      <w:r w:rsidRPr="00886031">
        <w:rPr>
          <w:sz w:val="24"/>
          <w:szCs w:val="24"/>
        </w:rPr>
        <w:t xml:space="preserve">Die Bodenuntersuchung nach der EUF-Methode (Elektro-Ultrafiltration) ist ein labortechnisches Analyseverfahren zur Untersuchung von Bodensubstraten auf ihre </w:t>
      </w:r>
      <w:r w:rsidRPr="00886031">
        <w:rPr>
          <w:b/>
          <w:bCs/>
          <w:i/>
          <w:iCs/>
          <w:sz w:val="24"/>
          <w:szCs w:val="24"/>
        </w:rPr>
        <w:t xml:space="preserve">für Pflanzen </w:t>
      </w:r>
      <w:r w:rsidRPr="00886031">
        <w:rPr>
          <w:b/>
          <w:bCs/>
          <w:i/>
          <w:iCs/>
          <w:sz w:val="24"/>
          <w:szCs w:val="24"/>
          <w:u w:val="single"/>
        </w:rPr>
        <w:t>verfügbaren</w:t>
      </w:r>
      <w:r w:rsidRPr="00886031">
        <w:rPr>
          <w:b/>
          <w:bCs/>
          <w:i/>
          <w:iCs/>
          <w:sz w:val="24"/>
          <w:szCs w:val="24"/>
        </w:rPr>
        <w:t xml:space="preserve"> Nährstoffe</w:t>
      </w:r>
      <w:r w:rsidRPr="00886031">
        <w:rPr>
          <w:sz w:val="24"/>
          <w:szCs w:val="24"/>
        </w:rPr>
        <w:t xml:space="preserve"> und somit die Grundlage einer pflanzengerechten, ökologisch und somit sachgerechten Düngung in Form organischer und oder mineralischer Form.</w:t>
      </w:r>
    </w:p>
    <w:p w:rsidR="00E318B5" w:rsidRPr="00886031" w:rsidRDefault="00E318B5" w:rsidP="00E318B5">
      <w:pPr>
        <w:pStyle w:val="berschrift2"/>
        <w:shd w:val="clear" w:color="auto" w:fill="FFFFFF"/>
        <w:spacing w:before="270" w:after="270"/>
        <w:rPr>
          <w:rStyle w:val="Fett"/>
          <w:rFonts w:eastAsia="Times New Roman"/>
          <w:color w:val="000000"/>
          <w:sz w:val="24"/>
          <w:szCs w:val="24"/>
          <w:lang w:val="de-AT"/>
        </w:rPr>
      </w:pPr>
      <w:r w:rsidRPr="00886031">
        <w:rPr>
          <w:rStyle w:val="Fett"/>
          <w:rFonts w:eastAsia="Times New Roman"/>
          <w:color w:val="000000"/>
          <w:sz w:val="24"/>
          <w:szCs w:val="24"/>
          <w:lang w:val="de-AT"/>
        </w:rPr>
        <w:t>EUF-Bodenuntersuchungen für alle zu Top-Preisen!</w:t>
      </w:r>
    </w:p>
    <w:tbl>
      <w:tblPr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126"/>
      </w:tblGrid>
      <w:tr w:rsidR="00D567A6" w:rsidRPr="00886031" w:rsidTr="00D567A6">
        <w:tc>
          <w:tcPr>
            <w:tcW w:w="4810" w:type="dxa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sz w:val="24"/>
                <w:szCs w:val="24"/>
              </w:rPr>
            </w:pPr>
            <w:r w:rsidRPr="00886031">
              <w:rPr>
                <w:b/>
                <w:sz w:val="24"/>
                <w:szCs w:val="24"/>
              </w:rPr>
              <w:t>Analysekosten (exkl. MwSt.):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sz w:val="24"/>
                <w:szCs w:val="24"/>
              </w:rPr>
            </w:pPr>
          </w:p>
        </w:tc>
      </w:tr>
      <w:tr w:rsidR="00D567A6" w:rsidRPr="00886031" w:rsidTr="00D567A6">
        <w:tc>
          <w:tcPr>
            <w:tcW w:w="4810" w:type="dxa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Grunduntersuchung (N, P, K, Ca, Mg, S, Na, B)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22,50 Euro/Probe</w:t>
            </w:r>
          </w:p>
        </w:tc>
      </w:tr>
      <w:tr w:rsidR="00D567A6" w:rsidRPr="00886031" w:rsidTr="00D567A6">
        <w:tc>
          <w:tcPr>
            <w:tcW w:w="4810" w:type="dxa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Humus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10,20 Euro/Probe</w:t>
            </w:r>
          </w:p>
        </w:tc>
      </w:tr>
      <w:tr w:rsidR="00D567A6" w:rsidRPr="00886031" w:rsidTr="00D567A6">
        <w:tc>
          <w:tcPr>
            <w:tcW w:w="4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Spurenelemente (</w:t>
            </w:r>
            <w:proofErr w:type="spellStart"/>
            <w:r w:rsidRPr="00886031">
              <w:rPr>
                <w:b/>
                <w:i/>
                <w:sz w:val="24"/>
                <w:szCs w:val="24"/>
              </w:rPr>
              <w:t>Fe</w:t>
            </w:r>
            <w:proofErr w:type="spellEnd"/>
            <w:r w:rsidRPr="0088603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86031">
              <w:rPr>
                <w:b/>
                <w:i/>
                <w:sz w:val="24"/>
                <w:szCs w:val="24"/>
              </w:rPr>
              <w:t>Mn</w:t>
            </w:r>
            <w:proofErr w:type="spellEnd"/>
            <w:r w:rsidRPr="0088603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86031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88603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86031">
              <w:rPr>
                <w:b/>
                <w:i/>
                <w:sz w:val="24"/>
                <w:szCs w:val="24"/>
              </w:rPr>
              <w:t>Zn</w:t>
            </w:r>
            <w:proofErr w:type="spellEnd"/>
            <w:r w:rsidRPr="00886031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7A6" w:rsidRPr="00886031" w:rsidRDefault="00D567A6" w:rsidP="00D567A6">
            <w:pPr>
              <w:rPr>
                <w:b/>
                <w:i/>
                <w:sz w:val="24"/>
                <w:szCs w:val="24"/>
              </w:rPr>
            </w:pPr>
            <w:r w:rsidRPr="00886031">
              <w:rPr>
                <w:b/>
                <w:i/>
                <w:sz w:val="24"/>
                <w:szCs w:val="24"/>
              </w:rPr>
              <w:t>21,50 Euro/Probe</w:t>
            </w:r>
          </w:p>
        </w:tc>
      </w:tr>
    </w:tbl>
    <w:p w:rsidR="00D567A6" w:rsidRPr="00886031" w:rsidRDefault="00D567A6" w:rsidP="00D567A6">
      <w:pPr>
        <w:rPr>
          <w:sz w:val="24"/>
          <w:szCs w:val="24"/>
          <w:lang w:val="de-AT"/>
        </w:rPr>
      </w:pPr>
    </w:p>
    <w:p w:rsidR="00E318B5" w:rsidRPr="00CB45A7" w:rsidRDefault="00D567A6" w:rsidP="00E318B5">
      <w:pPr>
        <w:rPr>
          <w:i/>
          <w:sz w:val="24"/>
          <w:szCs w:val="24"/>
        </w:rPr>
      </w:pPr>
      <w:r w:rsidRPr="00CB45A7">
        <w:rPr>
          <w:i/>
          <w:sz w:val="24"/>
          <w:szCs w:val="24"/>
        </w:rPr>
        <w:t>B</w:t>
      </w:r>
      <w:r w:rsidR="00E318B5" w:rsidRPr="00CB45A7">
        <w:rPr>
          <w:i/>
          <w:sz w:val="24"/>
          <w:szCs w:val="24"/>
        </w:rPr>
        <w:t>ei Interesse bitte bei Ortsbauernobmann Ing. Ludwig Hartl 0664/2314556 melden bzw. die Bodenprobe (ca. 1kg) in Freiling 2 abgeben!</w:t>
      </w:r>
    </w:p>
    <w:p w:rsidR="00ED4B7E" w:rsidRDefault="00ED4B7E" w:rsidP="00E318B5">
      <w:pPr>
        <w:tabs>
          <w:tab w:val="right" w:pos="9072"/>
        </w:tabs>
        <w:rPr>
          <w:rFonts w:cs="Arial"/>
          <w:sz w:val="16"/>
          <w:szCs w:val="16"/>
        </w:rPr>
      </w:pPr>
    </w:p>
    <w:p w:rsidR="00680C5C" w:rsidRPr="002E5A2B" w:rsidRDefault="00680C5C" w:rsidP="00E318B5">
      <w:pPr>
        <w:tabs>
          <w:tab w:val="right" w:pos="9072"/>
        </w:tabs>
        <w:rPr>
          <w:rFonts w:cs="Arial"/>
          <w:sz w:val="16"/>
          <w:szCs w:val="16"/>
        </w:rPr>
      </w:pPr>
    </w:p>
    <w:p w:rsidR="00D567A6" w:rsidRPr="002E5A2B" w:rsidRDefault="00D567A6" w:rsidP="00D567A6">
      <w:pPr>
        <w:rPr>
          <w:i/>
          <w:iCs/>
          <w:sz w:val="16"/>
          <w:szCs w:val="16"/>
        </w:rPr>
      </w:pPr>
    </w:p>
    <w:p w:rsidR="00D567A6" w:rsidRPr="002E5A2B" w:rsidRDefault="00D567A6" w:rsidP="00D567A6">
      <w:pPr>
        <w:rPr>
          <w:b/>
          <w:bCs/>
          <w:sz w:val="16"/>
          <w:szCs w:val="16"/>
          <w:highlight w:val="lightGray"/>
        </w:rPr>
      </w:pPr>
    </w:p>
    <w:p w:rsidR="00D567A6" w:rsidRDefault="00D567A6" w:rsidP="00D567A6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Überprüfung Kanalnetz im Gemeindegebiet</w:t>
      </w:r>
    </w:p>
    <w:p w:rsidR="00D567A6" w:rsidRPr="00886031" w:rsidRDefault="00D567A6" w:rsidP="00D567A6">
      <w:pPr>
        <w:jc w:val="both"/>
        <w:rPr>
          <w:bCs/>
          <w:sz w:val="24"/>
          <w:szCs w:val="24"/>
        </w:rPr>
      </w:pPr>
      <w:r w:rsidRPr="00886031">
        <w:rPr>
          <w:bCs/>
          <w:sz w:val="24"/>
          <w:szCs w:val="24"/>
        </w:rPr>
        <w:t xml:space="preserve">Das Kanalnetz der Gemeinde muss aufgrund von Vorgaben der Wasserrechtsabteilung überprüft werden. Die Überprüfung erfolgt in drei Schritten. </w:t>
      </w:r>
      <w:r w:rsidR="005E1EB9">
        <w:rPr>
          <w:bCs/>
          <w:sz w:val="24"/>
          <w:szCs w:val="24"/>
        </w:rPr>
        <w:t>Zuerst erfolgt</w:t>
      </w:r>
      <w:r w:rsidRPr="00886031">
        <w:rPr>
          <w:bCs/>
          <w:sz w:val="24"/>
          <w:szCs w:val="24"/>
        </w:rPr>
        <w:t xml:space="preserve"> Spülung der Kanäle, </w:t>
      </w:r>
      <w:r w:rsidR="005E1EB9">
        <w:rPr>
          <w:bCs/>
          <w:sz w:val="24"/>
          <w:szCs w:val="24"/>
        </w:rPr>
        <w:t>anschließend wird</w:t>
      </w:r>
      <w:r w:rsidRPr="00886031">
        <w:rPr>
          <w:bCs/>
          <w:sz w:val="24"/>
          <w:szCs w:val="24"/>
        </w:rPr>
        <w:t xml:space="preserve"> die Kamerabefahrung </w:t>
      </w:r>
      <w:r w:rsidR="005E1EB9">
        <w:rPr>
          <w:bCs/>
          <w:sz w:val="24"/>
          <w:szCs w:val="24"/>
        </w:rPr>
        <w:t xml:space="preserve">durchgeführt </w:t>
      </w:r>
      <w:r w:rsidRPr="00886031">
        <w:rPr>
          <w:bCs/>
          <w:sz w:val="24"/>
          <w:szCs w:val="24"/>
        </w:rPr>
        <w:t xml:space="preserve">und </w:t>
      </w:r>
      <w:r w:rsidR="005E1EB9">
        <w:rPr>
          <w:bCs/>
          <w:sz w:val="24"/>
          <w:szCs w:val="24"/>
        </w:rPr>
        <w:t>zum Schluß werden die Kanalschächte überprüft.</w:t>
      </w:r>
    </w:p>
    <w:p w:rsidR="00D567A6" w:rsidRPr="00886031" w:rsidRDefault="00D567A6" w:rsidP="00D567A6">
      <w:pPr>
        <w:jc w:val="both"/>
        <w:rPr>
          <w:bCs/>
          <w:sz w:val="24"/>
          <w:szCs w:val="24"/>
        </w:rPr>
      </w:pPr>
      <w:r w:rsidRPr="00886031">
        <w:rPr>
          <w:bCs/>
          <w:sz w:val="24"/>
          <w:szCs w:val="24"/>
        </w:rPr>
        <w:t xml:space="preserve">Ab Montag, 12.09.2022 wird mit der Spülung der Schächte in Freiling begonnen. Bis </w:t>
      </w:r>
      <w:r w:rsidR="00DD6A9D">
        <w:rPr>
          <w:bCs/>
          <w:sz w:val="24"/>
          <w:szCs w:val="24"/>
        </w:rPr>
        <w:t xml:space="preserve">voraussichtlich </w:t>
      </w:r>
      <w:r w:rsidRPr="00886031">
        <w:rPr>
          <w:bCs/>
          <w:sz w:val="24"/>
          <w:szCs w:val="24"/>
        </w:rPr>
        <w:t>Ende Dezember 2022 werden die Arbeiten abgeschlossen sein.</w:t>
      </w:r>
    </w:p>
    <w:p w:rsidR="00D567A6" w:rsidRPr="00886031" w:rsidRDefault="00D567A6" w:rsidP="00D567A6">
      <w:pPr>
        <w:jc w:val="both"/>
        <w:rPr>
          <w:bCs/>
          <w:sz w:val="24"/>
          <w:szCs w:val="24"/>
        </w:rPr>
      </w:pPr>
      <w:r w:rsidRPr="00886031">
        <w:rPr>
          <w:bCs/>
          <w:sz w:val="24"/>
          <w:szCs w:val="24"/>
        </w:rPr>
        <w:t>Durch die Arbeiten kann es kurzfristig zu Behinderungen auf den betroffenen Straßen kommen. Wir bitten um Verständnis!</w:t>
      </w:r>
    </w:p>
    <w:p w:rsidR="00ED4B7E" w:rsidRDefault="00ED4B7E" w:rsidP="00E318B5">
      <w:pPr>
        <w:tabs>
          <w:tab w:val="right" w:pos="9072"/>
        </w:tabs>
        <w:rPr>
          <w:rFonts w:cs="Arial"/>
        </w:rPr>
      </w:pPr>
    </w:p>
    <w:p w:rsidR="00886031" w:rsidRDefault="00886031" w:rsidP="00E318B5">
      <w:pPr>
        <w:tabs>
          <w:tab w:val="right" w:pos="9072"/>
        </w:tabs>
        <w:rPr>
          <w:rFonts w:cs="Arial"/>
        </w:rPr>
      </w:pPr>
    </w:p>
    <w:p w:rsidR="00886031" w:rsidRPr="00413880" w:rsidRDefault="00886031" w:rsidP="00E318B5">
      <w:pPr>
        <w:tabs>
          <w:tab w:val="right" w:pos="9072"/>
        </w:tabs>
        <w:rPr>
          <w:rFonts w:cs="Arial"/>
        </w:rPr>
      </w:pPr>
    </w:p>
    <w:p w:rsidR="00E318B5" w:rsidRPr="002E5A2B" w:rsidRDefault="002E5A2B" w:rsidP="00E318B5">
      <w:pPr>
        <w:pStyle w:val="Textkrper"/>
        <w:jc w:val="both"/>
        <w:rPr>
          <w:b/>
          <w:sz w:val="28"/>
          <w:szCs w:val="28"/>
          <w:highlight w:val="lightGray"/>
        </w:rPr>
      </w:pPr>
      <w:r w:rsidRPr="002E5A2B">
        <w:rPr>
          <w:b/>
          <w:sz w:val="28"/>
          <w:szCs w:val="28"/>
          <w:highlight w:val="lightGray"/>
        </w:rPr>
        <w:lastRenderedPageBreak/>
        <w:t>Online – Jugendbefragung</w:t>
      </w:r>
    </w:p>
    <w:p w:rsidR="002E5A2B" w:rsidRPr="00886031" w:rsidRDefault="002E5A2B" w:rsidP="00CB45A7">
      <w:pPr>
        <w:pStyle w:val="Textkrper"/>
        <w:spacing w:after="0"/>
        <w:jc w:val="both"/>
        <w:rPr>
          <w:i/>
          <w:sz w:val="24"/>
          <w:szCs w:val="24"/>
        </w:rPr>
      </w:pPr>
      <w:r w:rsidRPr="00886031">
        <w:rPr>
          <w:sz w:val="24"/>
          <w:szCs w:val="24"/>
        </w:rPr>
        <w:t xml:space="preserve">Die Gemeinde Gurten nimmt an einer Online-Jugendbefragung des Landes OÖ teil. Alle Gurtner Jugendlichen zwischen 12 und 19 Jahren erhalten in der KW 40 (03.10. bis 07.10.22) eine Einladung mit dem Befragungslink oder dem QR-Code. </w:t>
      </w:r>
      <w:r w:rsidRPr="00886031">
        <w:rPr>
          <w:i/>
          <w:sz w:val="24"/>
          <w:szCs w:val="24"/>
        </w:rPr>
        <w:t xml:space="preserve">Befragungszeitraum: 10. </w:t>
      </w:r>
      <w:r w:rsidR="00D50F00" w:rsidRPr="00886031">
        <w:rPr>
          <w:i/>
          <w:sz w:val="24"/>
          <w:szCs w:val="24"/>
        </w:rPr>
        <w:t>b</w:t>
      </w:r>
      <w:r w:rsidRPr="00886031">
        <w:rPr>
          <w:i/>
          <w:sz w:val="24"/>
          <w:szCs w:val="24"/>
        </w:rPr>
        <w:t>is 23. Oktober 2022</w:t>
      </w:r>
    </w:p>
    <w:p w:rsidR="002E5A2B" w:rsidRPr="00886031" w:rsidRDefault="002E5A2B" w:rsidP="00CB45A7">
      <w:pPr>
        <w:pStyle w:val="Textkrper"/>
        <w:spacing w:after="0"/>
        <w:jc w:val="both"/>
        <w:rPr>
          <w:sz w:val="24"/>
          <w:szCs w:val="24"/>
        </w:rPr>
      </w:pPr>
      <w:r w:rsidRPr="00886031">
        <w:rPr>
          <w:sz w:val="24"/>
          <w:szCs w:val="24"/>
        </w:rPr>
        <w:t>Wir freuen uns über eine zahlreiche Teilnahme.</w:t>
      </w:r>
    </w:p>
    <w:p w:rsidR="002E5A2B" w:rsidRDefault="002E5A2B" w:rsidP="00E318B5">
      <w:pPr>
        <w:pStyle w:val="Textkrper"/>
        <w:jc w:val="both"/>
        <w:rPr>
          <w:b/>
        </w:rPr>
      </w:pPr>
    </w:p>
    <w:p w:rsidR="00886031" w:rsidRDefault="00886031" w:rsidP="00E318B5">
      <w:pPr>
        <w:pStyle w:val="Textkrper"/>
        <w:jc w:val="both"/>
        <w:rPr>
          <w:b/>
        </w:rPr>
      </w:pPr>
    </w:p>
    <w:p w:rsidR="00BE767D" w:rsidRPr="00BE767D" w:rsidRDefault="00886031" w:rsidP="00E318B5">
      <w:pPr>
        <w:pStyle w:val="Textkrper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Sperre </w:t>
      </w:r>
      <w:r w:rsidR="005E1EB9">
        <w:rPr>
          <w:b/>
          <w:sz w:val="28"/>
          <w:szCs w:val="28"/>
          <w:highlight w:val="lightGray"/>
        </w:rPr>
        <w:t>Durchfahrt Fa. Fill</w:t>
      </w:r>
    </w:p>
    <w:p w:rsidR="00BE767D" w:rsidRPr="00886031" w:rsidRDefault="00BE767D" w:rsidP="00E318B5">
      <w:pPr>
        <w:pStyle w:val="Textkrper"/>
        <w:jc w:val="both"/>
        <w:rPr>
          <w:sz w:val="24"/>
          <w:szCs w:val="24"/>
        </w:rPr>
      </w:pPr>
      <w:r w:rsidRPr="00886031">
        <w:rPr>
          <w:sz w:val="24"/>
          <w:szCs w:val="24"/>
        </w:rPr>
        <w:t xml:space="preserve">Die </w:t>
      </w:r>
      <w:r w:rsidR="00CF58BB">
        <w:rPr>
          <w:sz w:val="24"/>
          <w:szCs w:val="24"/>
        </w:rPr>
        <w:t>Durchfahrt der Fa. Fill</w:t>
      </w:r>
      <w:r w:rsidRPr="00886031">
        <w:rPr>
          <w:sz w:val="24"/>
          <w:szCs w:val="24"/>
        </w:rPr>
        <w:t xml:space="preserve"> zwischen der Bahnunterführung und dem Sportplatz ist aufgrund der Verlegung des Energie AG Stromkabels </w:t>
      </w:r>
      <w:r w:rsidR="00886031" w:rsidRPr="00886031">
        <w:rPr>
          <w:sz w:val="24"/>
          <w:szCs w:val="24"/>
        </w:rPr>
        <w:t xml:space="preserve">vom Firmengelände in die Straße </w:t>
      </w:r>
      <w:r w:rsidR="00CB45A7">
        <w:rPr>
          <w:sz w:val="24"/>
          <w:szCs w:val="24"/>
        </w:rPr>
        <w:t>von KW 39</w:t>
      </w:r>
      <w:r w:rsidRPr="00886031">
        <w:rPr>
          <w:sz w:val="24"/>
          <w:szCs w:val="24"/>
        </w:rPr>
        <w:t xml:space="preserve"> </w:t>
      </w:r>
      <w:r w:rsidR="00886031" w:rsidRPr="00886031">
        <w:rPr>
          <w:sz w:val="24"/>
          <w:szCs w:val="24"/>
        </w:rPr>
        <w:t xml:space="preserve">bis voraussichtlich </w:t>
      </w:r>
      <w:r w:rsidRPr="00886031">
        <w:rPr>
          <w:sz w:val="24"/>
          <w:szCs w:val="24"/>
        </w:rPr>
        <w:t>KW 47 (</w:t>
      </w:r>
      <w:r w:rsidR="00CB45A7">
        <w:rPr>
          <w:sz w:val="24"/>
          <w:szCs w:val="24"/>
        </w:rPr>
        <w:t xml:space="preserve">von 26.09.2022 </w:t>
      </w:r>
      <w:r w:rsidRPr="00886031">
        <w:rPr>
          <w:sz w:val="24"/>
          <w:szCs w:val="24"/>
        </w:rPr>
        <w:t xml:space="preserve">bis </w:t>
      </w:r>
      <w:r w:rsidR="00886031" w:rsidRPr="00886031">
        <w:rPr>
          <w:sz w:val="24"/>
          <w:szCs w:val="24"/>
        </w:rPr>
        <w:t xml:space="preserve">27.11.2022) </w:t>
      </w:r>
      <w:r w:rsidR="00CB45A7">
        <w:rPr>
          <w:sz w:val="24"/>
          <w:szCs w:val="24"/>
        </w:rPr>
        <w:t>gesperrt</w:t>
      </w:r>
      <w:r w:rsidR="00886031" w:rsidRPr="00886031">
        <w:rPr>
          <w:sz w:val="24"/>
          <w:szCs w:val="24"/>
        </w:rPr>
        <w:t>. Nach Abschluss der Verlegungsarbeiten ist die Benützung wieder möglich.</w:t>
      </w:r>
    </w:p>
    <w:p w:rsidR="00BE767D" w:rsidRDefault="00BE767D" w:rsidP="00E318B5">
      <w:pPr>
        <w:pStyle w:val="Textkrper"/>
        <w:jc w:val="both"/>
      </w:pPr>
    </w:p>
    <w:p w:rsidR="00F32311" w:rsidRDefault="00F32311" w:rsidP="00E318B5">
      <w:pPr>
        <w:pStyle w:val="Textkrper"/>
        <w:jc w:val="both"/>
      </w:pPr>
    </w:p>
    <w:p w:rsidR="007543AC" w:rsidRDefault="007543AC" w:rsidP="00E318B5">
      <w:pPr>
        <w:pStyle w:val="Textkrper"/>
        <w:jc w:val="both"/>
        <w:rPr>
          <w:b/>
          <w:sz w:val="28"/>
          <w:szCs w:val="28"/>
          <w:highlight w:val="lightGray"/>
        </w:rPr>
      </w:pPr>
      <w:r w:rsidRPr="00F32311">
        <w:rPr>
          <w:b/>
          <w:sz w:val="28"/>
          <w:szCs w:val="28"/>
          <w:highlight w:val="lightGray"/>
        </w:rPr>
        <w:t>Spielegruppe</w:t>
      </w:r>
      <w:r w:rsidR="00F32311" w:rsidRPr="00F32311">
        <w:rPr>
          <w:b/>
          <w:sz w:val="28"/>
          <w:szCs w:val="28"/>
          <w:highlight w:val="lightGray"/>
        </w:rPr>
        <w:t>n Herbst 2022</w:t>
      </w:r>
    </w:p>
    <w:p w:rsidR="00F32311" w:rsidRDefault="00F32311" w:rsidP="00F32311">
      <w:pPr>
        <w:pStyle w:val="Textkrper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 Donnerstag, 22.09.22 starten wieder die Spielgruppen in Gurten.</w:t>
      </w:r>
    </w:p>
    <w:p w:rsidR="00DD6A9D" w:rsidRPr="00DD6A9D" w:rsidRDefault="00DD6A9D" w:rsidP="00F32311">
      <w:pPr>
        <w:pStyle w:val="Textkrper"/>
        <w:spacing w:after="0"/>
        <w:jc w:val="both"/>
        <w:rPr>
          <w:i/>
          <w:sz w:val="16"/>
          <w:szCs w:val="16"/>
        </w:rPr>
      </w:pPr>
    </w:p>
    <w:p w:rsidR="00F32311" w:rsidRPr="00F32311" w:rsidRDefault="00F32311" w:rsidP="00F32311">
      <w:pPr>
        <w:pStyle w:val="Textkrper"/>
        <w:spacing w:after="0"/>
        <w:jc w:val="both"/>
        <w:rPr>
          <w:i/>
          <w:sz w:val="24"/>
          <w:szCs w:val="24"/>
        </w:rPr>
      </w:pPr>
      <w:r w:rsidRPr="00F32311">
        <w:rPr>
          <w:i/>
          <w:sz w:val="24"/>
          <w:szCs w:val="24"/>
        </w:rPr>
        <w:t>Krabbelzwerge:</w:t>
      </w:r>
      <w:r w:rsidRPr="00F32311">
        <w:rPr>
          <w:i/>
          <w:sz w:val="24"/>
          <w:szCs w:val="24"/>
        </w:rPr>
        <w:tab/>
        <w:t xml:space="preserve"> 10 – 18 Monate, mit Begleitung</w:t>
      </w:r>
    </w:p>
    <w:p w:rsidR="00F32311" w:rsidRDefault="00F32311" w:rsidP="00F32311">
      <w:pPr>
        <w:pStyle w:val="Textkrper"/>
        <w:spacing w:after="0"/>
        <w:jc w:val="both"/>
        <w:rPr>
          <w:i/>
          <w:sz w:val="24"/>
          <w:szCs w:val="24"/>
        </w:rPr>
      </w:pPr>
      <w:r w:rsidRPr="00F32311">
        <w:rPr>
          <w:i/>
          <w:sz w:val="24"/>
          <w:szCs w:val="24"/>
        </w:rPr>
        <w:tab/>
      </w:r>
      <w:r w:rsidRPr="00F32311">
        <w:rPr>
          <w:i/>
          <w:sz w:val="24"/>
          <w:szCs w:val="24"/>
        </w:rPr>
        <w:tab/>
      </w:r>
      <w:r w:rsidRPr="00F32311">
        <w:rPr>
          <w:i/>
          <w:sz w:val="24"/>
          <w:szCs w:val="24"/>
        </w:rPr>
        <w:tab/>
        <w:t>08:30 Uhr bis 10:00 Uhr im Pfarrheim, Spielegruppenraum</w:t>
      </w:r>
    </w:p>
    <w:p w:rsidR="00DD6A9D" w:rsidRPr="00DD6A9D" w:rsidRDefault="00DD6A9D" w:rsidP="00F32311">
      <w:pPr>
        <w:pStyle w:val="Textkrper"/>
        <w:spacing w:after="0"/>
        <w:jc w:val="both"/>
        <w:rPr>
          <w:i/>
          <w:sz w:val="16"/>
          <w:szCs w:val="16"/>
        </w:rPr>
      </w:pPr>
    </w:p>
    <w:p w:rsidR="00F32311" w:rsidRPr="00F32311" w:rsidRDefault="00F32311" w:rsidP="00F32311">
      <w:pPr>
        <w:pStyle w:val="Textkrper"/>
        <w:spacing w:after="0"/>
        <w:jc w:val="both"/>
        <w:rPr>
          <w:i/>
          <w:sz w:val="24"/>
          <w:szCs w:val="24"/>
        </w:rPr>
      </w:pPr>
      <w:proofErr w:type="spellStart"/>
      <w:r w:rsidRPr="00F32311">
        <w:rPr>
          <w:i/>
          <w:sz w:val="24"/>
          <w:szCs w:val="24"/>
        </w:rPr>
        <w:t>Springginkerl</w:t>
      </w:r>
      <w:proofErr w:type="spellEnd"/>
      <w:r w:rsidRPr="00F32311">
        <w:rPr>
          <w:i/>
          <w:sz w:val="24"/>
          <w:szCs w:val="24"/>
        </w:rPr>
        <w:t>:</w:t>
      </w:r>
      <w:r w:rsidRPr="00F32311">
        <w:rPr>
          <w:i/>
          <w:sz w:val="24"/>
          <w:szCs w:val="24"/>
        </w:rPr>
        <w:tab/>
      </w:r>
      <w:r w:rsidRPr="00F32311">
        <w:rPr>
          <w:i/>
          <w:sz w:val="24"/>
          <w:szCs w:val="24"/>
        </w:rPr>
        <w:tab/>
        <w:t>ab 1,5 Jahre, mit Begleitung</w:t>
      </w:r>
    </w:p>
    <w:p w:rsidR="00F32311" w:rsidRPr="00F32311" w:rsidRDefault="00F32311" w:rsidP="00F32311">
      <w:pPr>
        <w:pStyle w:val="Textkrper"/>
        <w:spacing w:after="0"/>
        <w:jc w:val="both"/>
        <w:rPr>
          <w:i/>
          <w:sz w:val="24"/>
          <w:szCs w:val="24"/>
        </w:rPr>
      </w:pPr>
      <w:r w:rsidRPr="00F32311">
        <w:rPr>
          <w:i/>
          <w:sz w:val="24"/>
          <w:szCs w:val="24"/>
        </w:rPr>
        <w:tab/>
      </w:r>
      <w:r w:rsidRPr="00F32311">
        <w:rPr>
          <w:i/>
          <w:sz w:val="24"/>
          <w:szCs w:val="24"/>
        </w:rPr>
        <w:tab/>
      </w:r>
      <w:r w:rsidRPr="00F32311">
        <w:rPr>
          <w:i/>
          <w:sz w:val="24"/>
          <w:szCs w:val="24"/>
        </w:rPr>
        <w:tab/>
        <w:t>10:15 Uhr bis 11:15 Uhr</w:t>
      </w:r>
    </w:p>
    <w:p w:rsidR="00F32311" w:rsidRPr="00F32311" w:rsidRDefault="00F32311" w:rsidP="00F32311">
      <w:pPr>
        <w:pStyle w:val="Textkrper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Information und Anmeldungen unter: 0699 / 16886623</w:t>
      </w:r>
    </w:p>
    <w:p w:rsidR="00F32311" w:rsidRDefault="00F32311" w:rsidP="00E318B5">
      <w:pPr>
        <w:pStyle w:val="Textkrper"/>
        <w:jc w:val="both"/>
        <w:rPr>
          <w:b/>
          <w:sz w:val="28"/>
          <w:szCs w:val="28"/>
          <w:highlight w:val="lightGray"/>
        </w:rPr>
      </w:pPr>
    </w:p>
    <w:p w:rsidR="00F32311" w:rsidRDefault="00F32311" w:rsidP="00E318B5">
      <w:pPr>
        <w:pStyle w:val="Textkrper"/>
        <w:jc w:val="both"/>
        <w:rPr>
          <w:b/>
          <w:sz w:val="28"/>
          <w:szCs w:val="28"/>
          <w:highlight w:val="lightGray"/>
        </w:rPr>
      </w:pPr>
    </w:p>
    <w:p w:rsidR="00E318B5" w:rsidRDefault="00E318B5" w:rsidP="00E318B5">
      <w:pPr>
        <w:pStyle w:val="Textkrper"/>
        <w:jc w:val="both"/>
        <w:rPr>
          <w:b/>
          <w:sz w:val="28"/>
          <w:szCs w:val="28"/>
          <w:highlight w:val="lightGray"/>
        </w:rPr>
      </w:pPr>
      <w:r w:rsidRPr="00281B3F">
        <w:rPr>
          <w:b/>
          <w:sz w:val="28"/>
          <w:szCs w:val="28"/>
          <w:highlight w:val="lightGray"/>
        </w:rPr>
        <w:t>Hecken und Bäume in Form</w:t>
      </w:r>
      <w:r>
        <w:rPr>
          <w:b/>
          <w:sz w:val="28"/>
          <w:szCs w:val="28"/>
          <w:highlight w:val="lightGray"/>
        </w:rPr>
        <w:t xml:space="preserve"> – Unfälle verhindern</w:t>
      </w:r>
    </w:p>
    <w:p w:rsidR="00E318B5" w:rsidRPr="00886031" w:rsidRDefault="00E318B5" w:rsidP="00E318B5">
      <w:pPr>
        <w:pStyle w:val="Default"/>
        <w:jc w:val="both"/>
      </w:pPr>
      <w:r w:rsidRPr="00886031">
        <w:rPr>
          <w:noProof/>
        </w:rPr>
        <w:drawing>
          <wp:anchor distT="0" distB="0" distL="114300" distR="114300" simplePos="0" relativeHeight="251684864" behindDoc="1" locked="0" layoutInCell="1" allowOverlap="1" wp14:anchorId="43423184" wp14:editId="5D727370">
            <wp:simplePos x="0" y="0"/>
            <wp:positionH relativeFrom="margin">
              <wp:posOffset>2885440</wp:posOffset>
            </wp:positionH>
            <wp:positionV relativeFrom="paragraph">
              <wp:posOffset>10160</wp:posOffset>
            </wp:positionV>
            <wp:extent cx="378079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40" y="21517"/>
                <wp:lineTo x="2144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031">
        <w:t xml:space="preserve">Gemeindestraßen sind oft durch Hecken und Bäume angrenzender Privatgrundstücke begrenzt. Immer wieder ragen Bäume und Sträucher in die Straße hinein und verursachen Schäden an vorbeifahrenden Fahrzeugen. </w:t>
      </w:r>
    </w:p>
    <w:p w:rsidR="00E318B5" w:rsidRDefault="00E318B5" w:rsidP="00E318B5">
      <w:pPr>
        <w:pStyle w:val="Default"/>
        <w:jc w:val="both"/>
      </w:pPr>
      <w:r w:rsidRPr="00886031">
        <w:t xml:space="preserve">Für LKWs, speziell für die </w:t>
      </w:r>
      <w:r w:rsidRPr="00886031">
        <w:rPr>
          <w:b/>
          <w:bCs/>
        </w:rPr>
        <w:t>Müllabfuhr</w:t>
      </w:r>
      <w:r w:rsidRPr="00886031">
        <w:t xml:space="preserve">, ist ein Befahren solcher Straßen nur noch </w:t>
      </w:r>
      <w:r w:rsidRPr="00886031">
        <w:rPr>
          <w:b/>
          <w:bCs/>
        </w:rPr>
        <w:t xml:space="preserve">erschwert </w:t>
      </w:r>
      <w:r w:rsidRPr="00886031">
        <w:t xml:space="preserve">möglich. Außerdem kommt es im Begegnungsverkehr immer wieder zu Fahrzeugbeschädigungen. </w:t>
      </w:r>
    </w:p>
    <w:p w:rsidR="00CB45A7" w:rsidRPr="00CB45A7" w:rsidRDefault="00CB45A7" w:rsidP="00E318B5">
      <w:pPr>
        <w:pStyle w:val="Default"/>
        <w:jc w:val="both"/>
        <w:rPr>
          <w:sz w:val="16"/>
          <w:szCs w:val="16"/>
        </w:rPr>
      </w:pPr>
    </w:p>
    <w:p w:rsidR="00E318B5" w:rsidRDefault="00E318B5" w:rsidP="00E318B5">
      <w:pPr>
        <w:pStyle w:val="Default"/>
        <w:jc w:val="both"/>
        <w:rPr>
          <w:b/>
          <w:bCs/>
          <w:color w:val="FF0000"/>
        </w:rPr>
      </w:pPr>
      <w:r w:rsidRPr="00886031">
        <w:rPr>
          <w:b/>
          <w:bCs/>
          <w:color w:val="FF0000"/>
        </w:rPr>
        <w:t xml:space="preserve">Damit die Abholung der Restabfall-, Bio- und Papiertonnen reibungslos möglich ist, ersuchen wir dringend, die überhängenden Sträucher und Bäume bis auf die Grundgrenze zurückzuschneiden! </w:t>
      </w:r>
    </w:p>
    <w:p w:rsidR="00CB45A7" w:rsidRPr="00CB45A7" w:rsidRDefault="00CB45A7" w:rsidP="00E318B5">
      <w:pPr>
        <w:pStyle w:val="Default"/>
        <w:jc w:val="both"/>
        <w:rPr>
          <w:sz w:val="16"/>
          <w:szCs w:val="16"/>
        </w:rPr>
      </w:pPr>
    </w:p>
    <w:p w:rsidR="00E318B5" w:rsidRPr="00DD6A9D" w:rsidRDefault="00E318B5" w:rsidP="00DD6A9D">
      <w:pPr>
        <w:pStyle w:val="Textkrper"/>
        <w:jc w:val="both"/>
        <w:rPr>
          <w:b/>
          <w:i/>
          <w:sz w:val="24"/>
          <w:szCs w:val="24"/>
        </w:rPr>
      </w:pPr>
      <w:r w:rsidRPr="00886031">
        <w:rPr>
          <w:b/>
          <w:i/>
          <w:sz w:val="24"/>
          <w:szCs w:val="24"/>
        </w:rPr>
        <w:t>Laut Straßenverkehrsordnung muss der Luftraum oberhalb der Straße bis mindestens 4,50 Meter und über dem Gehsteig bis mindestens 2,20 Meter Höhe freigehalten werden.</w:t>
      </w:r>
    </w:p>
    <w:sectPr w:rsidR="00E318B5" w:rsidRPr="00DD6A9D" w:rsidSect="00D567A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B9" w:rsidRDefault="005E1EB9" w:rsidP="00DC3D67">
      <w:r>
        <w:separator/>
      </w:r>
    </w:p>
  </w:endnote>
  <w:endnote w:type="continuationSeparator" w:id="0">
    <w:p w:rsidR="005E1EB9" w:rsidRDefault="005E1EB9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B9" w:rsidRDefault="005E1EB9" w:rsidP="00DC3D67">
      <w:r>
        <w:separator/>
      </w:r>
    </w:p>
  </w:footnote>
  <w:footnote w:type="continuationSeparator" w:id="0">
    <w:p w:rsidR="005E1EB9" w:rsidRDefault="005E1EB9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5D0745"/>
    <w:multiLevelType w:val="hybridMultilevel"/>
    <w:tmpl w:val="B2A029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994214"/>
    <w:multiLevelType w:val="hybridMultilevel"/>
    <w:tmpl w:val="D51AC56A"/>
    <w:lvl w:ilvl="0" w:tplc="A2A2C3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299D"/>
    <w:multiLevelType w:val="hybridMultilevel"/>
    <w:tmpl w:val="30D019A0"/>
    <w:lvl w:ilvl="0" w:tplc="E466AD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B40F48"/>
    <w:multiLevelType w:val="hybridMultilevel"/>
    <w:tmpl w:val="792C0B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856AE"/>
    <w:multiLevelType w:val="hybridMultilevel"/>
    <w:tmpl w:val="C19E4E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4341B2"/>
    <w:multiLevelType w:val="hybridMultilevel"/>
    <w:tmpl w:val="33521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A7999"/>
    <w:multiLevelType w:val="hybridMultilevel"/>
    <w:tmpl w:val="B4743B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643D"/>
    <w:multiLevelType w:val="hybridMultilevel"/>
    <w:tmpl w:val="3C3C42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FDD408A"/>
    <w:multiLevelType w:val="hybridMultilevel"/>
    <w:tmpl w:val="80246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872EFB"/>
    <w:multiLevelType w:val="multilevel"/>
    <w:tmpl w:val="189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13EED"/>
    <w:multiLevelType w:val="hybridMultilevel"/>
    <w:tmpl w:val="03BC81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E732CAC"/>
    <w:multiLevelType w:val="hybridMultilevel"/>
    <w:tmpl w:val="F360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6203E"/>
    <w:multiLevelType w:val="hybridMultilevel"/>
    <w:tmpl w:val="3E800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90DA2"/>
    <w:multiLevelType w:val="hybridMultilevel"/>
    <w:tmpl w:val="3C3C42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633AE1"/>
    <w:multiLevelType w:val="hybridMultilevel"/>
    <w:tmpl w:val="3676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72B8"/>
    <w:multiLevelType w:val="hybridMultilevel"/>
    <w:tmpl w:val="2174A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B59F4"/>
    <w:multiLevelType w:val="hybridMultilevel"/>
    <w:tmpl w:val="391073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43713"/>
    <w:multiLevelType w:val="multilevel"/>
    <w:tmpl w:val="2C8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37"/>
  </w:num>
  <w:num w:numId="5">
    <w:abstractNumId w:val="14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0"/>
  </w:num>
  <w:num w:numId="20">
    <w:abstractNumId w:val="33"/>
  </w:num>
  <w:num w:numId="21">
    <w:abstractNumId w:val="26"/>
  </w:num>
  <w:num w:numId="22">
    <w:abstractNumId w:val="11"/>
  </w:num>
  <w:num w:numId="23">
    <w:abstractNumId w:val="43"/>
  </w:num>
  <w:num w:numId="24">
    <w:abstractNumId w:val="30"/>
  </w:num>
  <w:num w:numId="25">
    <w:abstractNumId w:val="38"/>
  </w:num>
  <w:num w:numId="26">
    <w:abstractNumId w:val="31"/>
  </w:num>
  <w:num w:numId="27">
    <w:abstractNumId w:val="19"/>
  </w:num>
  <w:num w:numId="28">
    <w:abstractNumId w:val="16"/>
  </w:num>
  <w:num w:numId="29">
    <w:abstractNumId w:val="42"/>
  </w:num>
  <w:num w:numId="30">
    <w:abstractNumId w:val="27"/>
  </w:num>
  <w:num w:numId="31">
    <w:abstractNumId w:val="34"/>
  </w:num>
  <w:num w:numId="32">
    <w:abstractNumId w:val="28"/>
  </w:num>
  <w:num w:numId="33">
    <w:abstractNumId w:val="15"/>
  </w:num>
  <w:num w:numId="34">
    <w:abstractNumId w:val="21"/>
  </w:num>
  <w:num w:numId="35">
    <w:abstractNumId w:val="40"/>
  </w:num>
  <w:num w:numId="36">
    <w:abstractNumId w:val="39"/>
  </w:num>
  <w:num w:numId="37">
    <w:abstractNumId w:val="35"/>
  </w:num>
  <w:num w:numId="38">
    <w:abstractNumId w:val="18"/>
  </w:num>
  <w:num w:numId="39">
    <w:abstractNumId w:val="13"/>
  </w:num>
  <w:num w:numId="40">
    <w:abstractNumId w:val="25"/>
  </w:num>
  <w:num w:numId="41">
    <w:abstractNumId w:val="41"/>
  </w:num>
  <w:num w:numId="42">
    <w:abstractNumId w:val="22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3A"/>
    <w:rsid w:val="00011275"/>
    <w:rsid w:val="000133F9"/>
    <w:rsid w:val="000148DF"/>
    <w:rsid w:val="0001513C"/>
    <w:rsid w:val="0003081F"/>
    <w:rsid w:val="000338A4"/>
    <w:rsid w:val="000458A9"/>
    <w:rsid w:val="00052553"/>
    <w:rsid w:val="00062B89"/>
    <w:rsid w:val="00070B7D"/>
    <w:rsid w:val="00075F49"/>
    <w:rsid w:val="00080746"/>
    <w:rsid w:val="0008491F"/>
    <w:rsid w:val="00093BA5"/>
    <w:rsid w:val="000A1FE1"/>
    <w:rsid w:val="000A244A"/>
    <w:rsid w:val="000A2583"/>
    <w:rsid w:val="000B2F59"/>
    <w:rsid w:val="000B76CA"/>
    <w:rsid w:val="000D24BE"/>
    <w:rsid w:val="000D3F48"/>
    <w:rsid w:val="000D6F8A"/>
    <w:rsid w:val="000E03A9"/>
    <w:rsid w:val="000E7BF8"/>
    <w:rsid w:val="000F037A"/>
    <w:rsid w:val="000F3F61"/>
    <w:rsid w:val="000F6097"/>
    <w:rsid w:val="000F6C42"/>
    <w:rsid w:val="00100613"/>
    <w:rsid w:val="00121F14"/>
    <w:rsid w:val="00122982"/>
    <w:rsid w:val="00126224"/>
    <w:rsid w:val="00137FD3"/>
    <w:rsid w:val="001431D5"/>
    <w:rsid w:val="00144AD4"/>
    <w:rsid w:val="00151A72"/>
    <w:rsid w:val="00153F27"/>
    <w:rsid w:val="001620F7"/>
    <w:rsid w:val="00192C23"/>
    <w:rsid w:val="001B608C"/>
    <w:rsid w:val="001C38C1"/>
    <w:rsid w:val="001C61AD"/>
    <w:rsid w:val="001E205F"/>
    <w:rsid w:val="00211841"/>
    <w:rsid w:val="00221761"/>
    <w:rsid w:val="0022299D"/>
    <w:rsid w:val="00227DB3"/>
    <w:rsid w:val="00237D8B"/>
    <w:rsid w:val="00241AC0"/>
    <w:rsid w:val="00241C22"/>
    <w:rsid w:val="00242C9C"/>
    <w:rsid w:val="00242DB6"/>
    <w:rsid w:val="00250C4B"/>
    <w:rsid w:val="00260A24"/>
    <w:rsid w:val="002721CA"/>
    <w:rsid w:val="00281B3F"/>
    <w:rsid w:val="00283633"/>
    <w:rsid w:val="00285BA1"/>
    <w:rsid w:val="002A2C30"/>
    <w:rsid w:val="002A7D4B"/>
    <w:rsid w:val="002B0504"/>
    <w:rsid w:val="002B435E"/>
    <w:rsid w:val="002B6E16"/>
    <w:rsid w:val="002D0F36"/>
    <w:rsid w:val="002D113C"/>
    <w:rsid w:val="002D4BA0"/>
    <w:rsid w:val="002E5A2B"/>
    <w:rsid w:val="002F6245"/>
    <w:rsid w:val="0031533A"/>
    <w:rsid w:val="003271E7"/>
    <w:rsid w:val="003368D0"/>
    <w:rsid w:val="00337D71"/>
    <w:rsid w:val="00341018"/>
    <w:rsid w:val="00347870"/>
    <w:rsid w:val="003530C9"/>
    <w:rsid w:val="003939BC"/>
    <w:rsid w:val="003B0406"/>
    <w:rsid w:val="003B54A6"/>
    <w:rsid w:val="003C5DC7"/>
    <w:rsid w:val="003C778B"/>
    <w:rsid w:val="003D2E6F"/>
    <w:rsid w:val="003E5D47"/>
    <w:rsid w:val="003E62E1"/>
    <w:rsid w:val="003F5D51"/>
    <w:rsid w:val="003F7F98"/>
    <w:rsid w:val="00413880"/>
    <w:rsid w:val="00423396"/>
    <w:rsid w:val="00442191"/>
    <w:rsid w:val="00442B86"/>
    <w:rsid w:val="0044692F"/>
    <w:rsid w:val="004620E5"/>
    <w:rsid w:val="00464349"/>
    <w:rsid w:val="004949AB"/>
    <w:rsid w:val="004C4901"/>
    <w:rsid w:val="004C58E0"/>
    <w:rsid w:val="004C726C"/>
    <w:rsid w:val="004D7BB8"/>
    <w:rsid w:val="004E0076"/>
    <w:rsid w:val="004E108E"/>
    <w:rsid w:val="004E2D72"/>
    <w:rsid w:val="004F2966"/>
    <w:rsid w:val="004F7436"/>
    <w:rsid w:val="0050156B"/>
    <w:rsid w:val="0050667B"/>
    <w:rsid w:val="00530E3B"/>
    <w:rsid w:val="00542282"/>
    <w:rsid w:val="00543F94"/>
    <w:rsid w:val="005510C0"/>
    <w:rsid w:val="00560C85"/>
    <w:rsid w:val="005B18F1"/>
    <w:rsid w:val="005B714F"/>
    <w:rsid w:val="005C044E"/>
    <w:rsid w:val="005D4DAE"/>
    <w:rsid w:val="005E1EB9"/>
    <w:rsid w:val="005F28DD"/>
    <w:rsid w:val="0060362B"/>
    <w:rsid w:val="00607F49"/>
    <w:rsid w:val="00613AB6"/>
    <w:rsid w:val="00614D4C"/>
    <w:rsid w:val="00615E40"/>
    <w:rsid w:val="00645252"/>
    <w:rsid w:val="00646DB8"/>
    <w:rsid w:val="0065297D"/>
    <w:rsid w:val="00652CCE"/>
    <w:rsid w:val="00654228"/>
    <w:rsid w:val="006549B8"/>
    <w:rsid w:val="00680C5C"/>
    <w:rsid w:val="00684A70"/>
    <w:rsid w:val="0069377B"/>
    <w:rsid w:val="006B560D"/>
    <w:rsid w:val="006B6764"/>
    <w:rsid w:val="006C3F5B"/>
    <w:rsid w:val="006C5AE2"/>
    <w:rsid w:val="006D2302"/>
    <w:rsid w:val="006D3D74"/>
    <w:rsid w:val="006D47F7"/>
    <w:rsid w:val="006D5FD3"/>
    <w:rsid w:val="006D6040"/>
    <w:rsid w:val="00702880"/>
    <w:rsid w:val="0071646B"/>
    <w:rsid w:val="00716F2C"/>
    <w:rsid w:val="00720045"/>
    <w:rsid w:val="007222C5"/>
    <w:rsid w:val="007254A8"/>
    <w:rsid w:val="0074031F"/>
    <w:rsid w:val="0074048A"/>
    <w:rsid w:val="00741236"/>
    <w:rsid w:val="0074184E"/>
    <w:rsid w:val="007543AC"/>
    <w:rsid w:val="007546A8"/>
    <w:rsid w:val="007642F7"/>
    <w:rsid w:val="00776440"/>
    <w:rsid w:val="007843E4"/>
    <w:rsid w:val="007850E1"/>
    <w:rsid w:val="007A46F3"/>
    <w:rsid w:val="007B494E"/>
    <w:rsid w:val="007B4985"/>
    <w:rsid w:val="007C3773"/>
    <w:rsid w:val="007C5CC6"/>
    <w:rsid w:val="007D2E8E"/>
    <w:rsid w:val="007E1EFD"/>
    <w:rsid w:val="00800159"/>
    <w:rsid w:val="00825DAF"/>
    <w:rsid w:val="008262A3"/>
    <w:rsid w:val="008271EA"/>
    <w:rsid w:val="00832FAD"/>
    <w:rsid w:val="0083569A"/>
    <w:rsid w:val="00837994"/>
    <w:rsid w:val="008407FE"/>
    <w:rsid w:val="00840DCE"/>
    <w:rsid w:val="00845F1E"/>
    <w:rsid w:val="008460DA"/>
    <w:rsid w:val="00852455"/>
    <w:rsid w:val="008618BF"/>
    <w:rsid w:val="00864619"/>
    <w:rsid w:val="00865348"/>
    <w:rsid w:val="008715DB"/>
    <w:rsid w:val="008770DC"/>
    <w:rsid w:val="008773BA"/>
    <w:rsid w:val="008855B5"/>
    <w:rsid w:val="00886031"/>
    <w:rsid w:val="00886E5C"/>
    <w:rsid w:val="00887A71"/>
    <w:rsid w:val="00887C1D"/>
    <w:rsid w:val="008960EE"/>
    <w:rsid w:val="008A3E29"/>
    <w:rsid w:val="008A4502"/>
    <w:rsid w:val="008B0767"/>
    <w:rsid w:val="008C31F5"/>
    <w:rsid w:val="008C7902"/>
    <w:rsid w:val="008C7DBF"/>
    <w:rsid w:val="008C7EF8"/>
    <w:rsid w:val="008E225C"/>
    <w:rsid w:val="008E652B"/>
    <w:rsid w:val="00913BCD"/>
    <w:rsid w:val="009153D6"/>
    <w:rsid w:val="009162DE"/>
    <w:rsid w:val="009163DD"/>
    <w:rsid w:val="009165B5"/>
    <w:rsid w:val="0091787D"/>
    <w:rsid w:val="0093311A"/>
    <w:rsid w:val="0095342C"/>
    <w:rsid w:val="009716D6"/>
    <w:rsid w:val="00974EA8"/>
    <w:rsid w:val="00981297"/>
    <w:rsid w:val="00994547"/>
    <w:rsid w:val="00995637"/>
    <w:rsid w:val="009A0E6A"/>
    <w:rsid w:val="009A60CE"/>
    <w:rsid w:val="009A7470"/>
    <w:rsid w:val="009B5B46"/>
    <w:rsid w:val="009B5CD3"/>
    <w:rsid w:val="009C2CFA"/>
    <w:rsid w:val="009D18DF"/>
    <w:rsid w:val="009D239A"/>
    <w:rsid w:val="009E028B"/>
    <w:rsid w:val="009E3B84"/>
    <w:rsid w:val="00A015DA"/>
    <w:rsid w:val="00A12714"/>
    <w:rsid w:val="00A15EB0"/>
    <w:rsid w:val="00A30FEE"/>
    <w:rsid w:val="00A34D06"/>
    <w:rsid w:val="00A861A5"/>
    <w:rsid w:val="00A9204E"/>
    <w:rsid w:val="00A9687C"/>
    <w:rsid w:val="00AA19E2"/>
    <w:rsid w:val="00AA2368"/>
    <w:rsid w:val="00AB5F5A"/>
    <w:rsid w:val="00AD3563"/>
    <w:rsid w:val="00AD62DF"/>
    <w:rsid w:val="00AF4DBE"/>
    <w:rsid w:val="00B01D71"/>
    <w:rsid w:val="00B06796"/>
    <w:rsid w:val="00B20645"/>
    <w:rsid w:val="00B233DB"/>
    <w:rsid w:val="00B246CE"/>
    <w:rsid w:val="00B27F3A"/>
    <w:rsid w:val="00B43E2A"/>
    <w:rsid w:val="00B454ED"/>
    <w:rsid w:val="00B45FBD"/>
    <w:rsid w:val="00B46614"/>
    <w:rsid w:val="00B569B2"/>
    <w:rsid w:val="00B63F6E"/>
    <w:rsid w:val="00B64CCA"/>
    <w:rsid w:val="00B719C8"/>
    <w:rsid w:val="00B80C7C"/>
    <w:rsid w:val="00B82C15"/>
    <w:rsid w:val="00B857B2"/>
    <w:rsid w:val="00B87E24"/>
    <w:rsid w:val="00B9303D"/>
    <w:rsid w:val="00B96CD0"/>
    <w:rsid w:val="00BA0BBA"/>
    <w:rsid w:val="00BB74C7"/>
    <w:rsid w:val="00BC164B"/>
    <w:rsid w:val="00BD0F3C"/>
    <w:rsid w:val="00BD368E"/>
    <w:rsid w:val="00BE767D"/>
    <w:rsid w:val="00BF3D9A"/>
    <w:rsid w:val="00BF6FA1"/>
    <w:rsid w:val="00BF7B89"/>
    <w:rsid w:val="00C11116"/>
    <w:rsid w:val="00C1554A"/>
    <w:rsid w:val="00C2354C"/>
    <w:rsid w:val="00C379E2"/>
    <w:rsid w:val="00C41F06"/>
    <w:rsid w:val="00C42A8A"/>
    <w:rsid w:val="00C471FB"/>
    <w:rsid w:val="00C712F0"/>
    <w:rsid w:val="00C76000"/>
    <w:rsid w:val="00C84FDD"/>
    <w:rsid w:val="00C90751"/>
    <w:rsid w:val="00C90E0B"/>
    <w:rsid w:val="00CB4519"/>
    <w:rsid w:val="00CB45A7"/>
    <w:rsid w:val="00CC196A"/>
    <w:rsid w:val="00CE3308"/>
    <w:rsid w:val="00CF58BB"/>
    <w:rsid w:val="00CF5A34"/>
    <w:rsid w:val="00D02A79"/>
    <w:rsid w:val="00D044FA"/>
    <w:rsid w:val="00D14653"/>
    <w:rsid w:val="00D15A0A"/>
    <w:rsid w:val="00D4119C"/>
    <w:rsid w:val="00D4518F"/>
    <w:rsid w:val="00D50F00"/>
    <w:rsid w:val="00D567A6"/>
    <w:rsid w:val="00D61708"/>
    <w:rsid w:val="00D674C4"/>
    <w:rsid w:val="00D740D5"/>
    <w:rsid w:val="00D74FD3"/>
    <w:rsid w:val="00DA1DC5"/>
    <w:rsid w:val="00DA5025"/>
    <w:rsid w:val="00DC3D67"/>
    <w:rsid w:val="00DD6A9D"/>
    <w:rsid w:val="00E04B1F"/>
    <w:rsid w:val="00E04B91"/>
    <w:rsid w:val="00E06A4E"/>
    <w:rsid w:val="00E06F03"/>
    <w:rsid w:val="00E16CFA"/>
    <w:rsid w:val="00E24768"/>
    <w:rsid w:val="00E24BC0"/>
    <w:rsid w:val="00E318B5"/>
    <w:rsid w:val="00E45CA0"/>
    <w:rsid w:val="00E464E0"/>
    <w:rsid w:val="00E57EAC"/>
    <w:rsid w:val="00E825C5"/>
    <w:rsid w:val="00E857F6"/>
    <w:rsid w:val="00E94CB5"/>
    <w:rsid w:val="00E97140"/>
    <w:rsid w:val="00EA4416"/>
    <w:rsid w:val="00EA6A89"/>
    <w:rsid w:val="00EA6BDA"/>
    <w:rsid w:val="00EC0D80"/>
    <w:rsid w:val="00EC7273"/>
    <w:rsid w:val="00ED4B7E"/>
    <w:rsid w:val="00ED6D52"/>
    <w:rsid w:val="00EE4388"/>
    <w:rsid w:val="00EE49F5"/>
    <w:rsid w:val="00EE5E91"/>
    <w:rsid w:val="00F11FCC"/>
    <w:rsid w:val="00F2524F"/>
    <w:rsid w:val="00F32311"/>
    <w:rsid w:val="00F82372"/>
    <w:rsid w:val="00F87F52"/>
    <w:rsid w:val="00F93724"/>
    <w:rsid w:val="00FA5F8F"/>
    <w:rsid w:val="00FB0DB7"/>
    <w:rsid w:val="00FC6823"/>
    <w:rsid w:val="00FD3EB4"/>
    <w:rsid w:val="00FE0D0C"/>
    <w:rsid w:val="00FE6818"/>
    <w:rsid w:val="00FF3AF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9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nhideWhenUsed/>
    <w:rsid w:val="00DC3D67"/>
  </w:style>
  <w:style w:type="character" w:customStyle="1" w:styleId="KopfzeileZchn">
    <w:name w:val="Kopfzeile Zchn"/>
    <w:basedOn w:val="Absatz-Standardschriftart"/>
    <w:link w:val="Kopfzeile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EinfacheTabelle11">
    <w:name w:val="Einfache Tabelle 1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ntabelle1hell1">
    <w:name w:val="Listentabelle 1 hell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D2E6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140"/>
    <w:rPr>
      <w:color w:val="605E5C"/>
      <w:shd w:val="clear" w:color="auto" w:fill="E1DFDD"/>
    </w:rPr>
  </w:style>
  <w:style w:type="paragraph" w:customStyle="1" w:styleId="Default">
    <w:name w:val="Default"/>
    <w:rsid w:val="00281B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meinde-gurten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meinde@gurten.ooe.gv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D019F2-6F8E-4B92-97B8-BA14387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2022-09-08T10:29:00Z</dcterms:created>
  <dcterms:modified xsi:type="dcterms:W3CDTF">2022-09-09T09:05:00Z</dcterms:modified>
</cp:coreProperties>
</file>